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sz w:val="20"/>
        </w:rPr>
      </w:pPr>
    </w:p>
    <w:p>
      <w:pPr>
        <w:pStyle w:val="BodyText"/>
        <w:rPr>
          <w:sz w:val="20"/>
        </w:rPr>
      </w:pPr>
    </w:p>
    <w:p>
      <w:pPr>
        <w:pStyle w:val="BodyText"/>
        <w:spacing w:before="4"/>
        <w:rPr>
          <w:sz w:val="19"/>
        </w:rPr>
      </w:pPr>
    </w:p>
    <w:p>
      <w:pPr>
        <w:pStyle w:val="BodyText"/>
        <w:ind w:left="3445"/>
        <w:rPr>
          <w:sz w:val="20"/>
        </w:rPr>
      </w:pPr>
      <w:r>
        <w:rPr>
          <w:sz w:val="20"/>
        </w:rPr>
        <w:drawing>
          <wp:inline distT="0" distB="0" distL="0" distR="0">
            <wp:extent cx="1714044" cy="1800225"/>
            <wp:effectExtent l="0" t="0" r="0" b="0"/>
            <wp:docPr id="1" name="image1.jpeg" descr=""/>
            <wp:cNvGraphicFramePr>
              <a:graphicFrameLocks noChangeAspect="1"/>
            </wp:cNvGraphicFramePr>
            <a:graphic>
              <a:graphicData uri="http://schemas.openxmlformats.org/drawingml/2006/picture">
                <pic:pic>
                  <pic:nvPicPr>
                    <pic:cNvPr id="2" name="image1.jpeg"/>
                    <pic:cNvPicPr/>
                  </pic:nvPicPr>
                  <pic:blipFill>
                    <a:blip r:embed="rId6" cstate="print"/>
                    <a:stretch>
                      <a:fillRect/>
                    </a:stretch>
                  </pic:blipFill>
                  <pic:spPr>
                    <a:xfrm>
                      <a:off x="0" y="0"/>
                      <a:ext cx="1714044" cy="1800225"/>
                    </a:xfrm>
                    <a:prstGeom prst="rect">
                      <a:avLst/>
                    </a:prstGeom>
                  </pic:spPr>
                </pic:pic>
              </a:graphicData>
            </a:graphic>
          </wp:inline>
        </w:drawing>
      </w:r>
      <w:r>
        <w:rPr>
          <w:sz w:val="20"/>
        </w:rPr>
      </w:r>
    </w:p>
    <w:p>
      <w:pPr>
        <w:pStyle w:val="BodyText"/>
        <w:spacing w:before="9"/>
        <w:rPr>
          <w:sz w:val="21"/>
        </w:rPr>
      </w:pPr>
    </w:p>
    <w:p>
      <w:pPr>
        <w:spacing w:before="88"/>
        <w:ind w:left="2065" w:right="0" w:firstLine="0"/>
        <w:jc w:val="left"/>
        <w:rPr>
          <w:i/>
          <w:sz w:val="28"/>
        </w:rPr>
      </w:pPr>
      <w:r>
        <w:rPr>
          <w:i/>
          <w:sz w:val="28"/>
        </w:rPr>
        <w:t>“Mr. Stepleton’s music is . . . utterly authentic.”</w:t>
      </w:r>
    </w:p>
    <w:p>
      <w:pPr>
        <w:spacing w:before="0"/>
        <w:ind w:left="2725" w:right="0" w:firstLine="0"/>
        <w:jc w:val="left"/>
        <w:rPr>
          <w:i/>
          <w:sz w:val="24"/>
        </w:rPr>
      </w:pPr>
      <w:r>
        <w:rPr>
          <w:sz w:val="24"/>
        </w:rPr>
        <w:t>Anthony Tommasini, </w:t>
      </w:r>
      <w:r>
        <w:rPr>
          <w:i/>
          <w:sz w:val="24"/>
        </w:rPr>
        <w:t>The New York Times</w:t>
      </w:r>
    </w:p>
    <w:p>
      <w:pPr>
        <w:pStyle w:val="BodyText"/>
        <w:rPr>
          <w:i/>
          <w:sz w:val="26"/>
        </w:rPr>
      </w:pPr>
    </w:p>
    <w:p>
      <w:pPr>
        <w:pStyle w:val="BodyText"/>
        <w:spacing w:before="4"/>
        <w:rPr>
          <w:i/>
        </w:rPr>
      </w:pPr>
    </w:p>
    <w:p>
      <w:pPr>
        <w:pStyle w:val="BodyText"/>
        <w:spacing w:line="288" w:lineRule="auto"/>
        <w:ind w:left="100" w:right="209"/>
      </w:pPr>
      <w:r>
        <w:rPr/>
        <w:t>James Stepleton is an internationally recognized prize-winning composer whose music has been performed throughout Europe, Canada and the United States, including Carnegie Hall, Lincoln Center, The Charlottetown Festival, PEI and the Golden Nugget Casino in Atlantic City.</w:t>
      </w:r>
    </w:p>
    <w:p>
      <w:pPr>
        <w:pStyle w:val="BodyText"/>
        <w:spacing w:before="5"/>
        <w:rPr>
          <w:sz w:val="28"/>
        </w:rPr>
      </w:pPr>
    </w:p>
    <w:p>
      <w:pPr>
        <w:pStyle w:val="BodyText"/>
        <w:spacing w:line="288" w:lineRule="auto"/>
        <w:ind w:left="100" w:right="102"/>
      </w:pPr>
      <w:r>
        <w:rPr/>
        <w:t>Currently, Mr. Stepleton is setting Pope Francis’ “A Prayer For Our Earth” (from the Pope’s encyclical on the environment </w:t>
      </w:r>
      <w:r>
        <w:rPr>
          <w:i/>
        </w:rPr>
        <w:t>Laudato Si’</w:t>
      </w:r>
      <w:r>
        <w:rPr/>
        <w:t>) to music in a large-scale 40-minute work for soloists, multiple choruses and orchestra with video accompaniment. Here are some endorsements the work has garnered to date:</w:t>
      </w:r>
    </w:p>
    <w:p>
      <w:pPr>
        <w:pStyle w:val="BodyText"/>
        <w:spacing w:before="3"/>
        <w:rPr>
          <w:sz w:val="28"/>
        </w:rPr>
      </w:pPr>
    </w:p>
    <w:p>
      <w:pPr>
        <w:spacing w:line="288" w:lineRule="auto" w:before="0"/>
        <w:ind w:left="820" w:right="140" w:firstLine="0"/>
        <w:jc w:val="left"/>
        <w:rPr>
          <w:sz w:val="22"/>
        </w:rPr>
      </w:pPr>
      <w:r>
        <w:rPr>
          <w:i/>
          <w:sz w:val="24"/>
        </w:rPr>
        <w:t>“The music and words together create a powerful message that will resonate with people </w:t>
      </w:r>
      <w:r>
        <w:rPr>
          <w:i/>
          <w:sz w:val="24"/>
        </w:rPr>
        <w:t>of all faiths.” </w:t>
      </w:r>
      <w:r>
        <w:rPr>
          <w:sz w:val="24"/>
        </w:rPr>
        <w:t>— </w:t>
      </w:r>
      <w:r>
        <w:rPr>
          <w:sz w:val="22"/>
        </w:rPr>
        <w:t>Midge Woolsey, long-time radio/TV host (PBS, WNET, WQXR), “voice of classical music” in New York.</w:t>
      </w:r>
    </w:p>
    <w:p>
      <w:pPr>
        <w:pStyle w:val="BodyText"/>
        <w:spacing w:before="2"/>
        <w:rPr>
          <w:sz w:val="28"/>
        </w:rPr>
      </w:pPr>
    </w:p>
    <w:p>
      <w:pPr>
        <w:spacing w:line="288" w:lineRule="auto" w:before="0"/>
        <w:ind w:left="820" w:right="209" w:firstLine="0"/>
        <w:jc w:val="left"/>
        <w:rPr>
          <w:i/>
          <w:sz w:val="24"/>
        </w:rPr>
      </w:pPr>
      <w:r>
        <w:rPr>
          <w:i/>
          <w:sz w:val="24"/>
        </w:rPr>
        <w:t>“A Prayer For Our Earth’ is as meaningful as it is beautiful. Like all great works of art, </w:t>
      </w:r>
      <w:r>
        <w:rPr>
          <w:i/>
          <w:sz w:val="24"/>
        </w:rPr>
        <w:t>it speaks to us in ways both clear and subtle and reminds of us of our humanity.”</w:t>
      </w:r>
    </w:p>
    <w:p>
      <w:pPr>
        <w:spacing w:line="288" w:lineRule="auto" w:before="0"/>
        <w:ind w:left="820" w:right="0" w:firstLine="0"/>
        <w:jc w:val="left"/>
        <w:rPr>
          <w:sz w:val="24"/>
        </w:rPr>
      </w:pPr>
      <w:r>
        <w:rPr>
          <w:sz w:val="24"/>
        </w:rPr>
        <w:t>— </w:t>
      </w:r>
      <w:r>
        <w:rPr>
          <w:sz w:val="22"/>
        </w:rPr>
        <w:t>Fred Plotkin, blogger, “Operavore,” WQXR, New York’s classical music station; Best-selling author, </w:t>
      </w:r>
      <w:r>
        <w:rPr>
          <w:i/>
          <w:sz w:val="24"/>
        </w:rPr>
        <w:t>Opera 101 </w:t>
      </w:r>
      <w:r>
        <w:rPr>
          <w:sz w:val="24"/>
        </w:rPr>
        <w:t>and </w:t>
      </w:r>
      <w:r>
        <w:rPr>
          <w:i/>
          <w:sz w:val="24"/>
        </w:rPr>
        <w:t>Classical Music 101</w:t>
      </w:r>
      <w:r>
        <w:rPr>
          <w:sz w:val="24"/>
        </w:rPr>
        <w:t>.</w:t>
      </w:r>
    </w:p>
    <w:p>
      <w:pPr>
        <w:pStyle w:val="BodyText"/>
        <w:spacing w:before="3"/>
        <w:rPr>
          <w:sz w:val="28"/>
        </w:rPr>
      </w:pPr>
    </w:p>
    <w:p>
      <w:pPr>
        <w:spacing w:line="290" w:lineRule="auto" w:before="1"/>
        <w:ind w:left="820" w:right="1361" w:firstLine="0"/>
        <w:jc w:val="left"/>
        <w:rPr>
          <w:sz w:val="22"/>
        </w:rPr>
      </w:pPr>
      <w:r>
        <w:rPr>
          <w:i/>
          <w:sz w:val="24"/>
        </w:rPr>
        <w:t>"Magnificent" . . . "wonderful work!” </w:t>
      </w:r>
      <w:r>
        <w:rPr>
          <w:sz w:val="24"/>
        </w:rPr>
        <w:t>— </w:t>
      </w:r>
      <w:r>
        <w:rPr>
          <w:sz w:val="22"/>
        </w:rPr>
        <w:t>John A. Grim &amp; Mary Evelyn Tucker, Co-founders/Co-directors, The Forum on Religion and Ecology at Yale University.</w:t>
      </w:r>
    </w:p>
    <w:p>
      <w:pPr>
        <w:pStyle w:val="BodyText"/>
        <w:spacing w:before="2"/>
        <w:rPr>
          <w:sz w:val="25"/>
        </w:rPr>
      </w:pPr>
    </w:p>
    <w:p>
      <w:pPr>
        <w:spacing w:line="290" w:lineRule="auto" w:before="0"/>
        <w:ind w:left="820" w:right="0" w:firstLine="0"/>
        <w:jc w:val="left"/>
        <w:rPr>
          <w:sz w:val="22"/>
        </w:rPr>
      </w:pPr>
      <w:r>
        <w:rPr>
          <w:i/>
          <w:sz w:val="24"/>
        </w:rPr>
        <w:t>“Stepleton has written a major work.” </w:t>
      </w:r>
      <w:r>
        <w:rPr>
          <w:sz w:val="22"/>
        </w:rPr>
        <w:t>— Tom F. Driver, Paul Tillich Professor Emeritus of Theology and Culture, Union Theological Seminary, New York.</w:t>
      </w:r>
    </w:p>
    <w:p>
      <w:pPr>
        <w:spacing w:after="0" w:line="290" w:lineRule="auto"/>
        <w:jc w:val="left"/>
        <w:rPr>
          <w:sz w:val="22"/>
        </w:rPr>
        <w:sectPr>
          <w:headerReference w:type="default" r:id="rId5"/>
          <w:type w:val="continuous"/>
          <w:pgSz w:w="12240" w:h="15840"/>
          <w:pgMar w:header="741" w:top="1720" w:bottom="280" w:left="1340" w:right="1340"/>
        </w:sectPr>
      </w:pPr>
    </w:p>
    <w:p>
      <w:pPr>
        <w:pStyle w:val="BodyText"/>
        <w:rPr>
          <w:sz w:val="20"/>
        </w:rPr>
      </w:pPr>
    </w:p>
    <w:p>
      <w:pPr>
        <w:pStyle w:val="BodyText"/>
        <w:rPr>
          <w:sz w:val="20"/>
        </w:rPr>
      </w:pPr>
    </w:p>
    <w:p>
      <w:pPr>
        <w:pStyle w:val="BodyText"/>
        <w:rPr>
          <w:sz w:val="20"/>
        </w:rPr>
      </w:pPr>
    </w:p>
    <w:p>
      <w:pPr>
        <w:pStyle w:val="BodyText"/>
        <w:rPr>
          <w:sz w:val="19"/>
        </w:rPr>
      </w:pPr>
    </w:p>
    <w:p>
      <w:pPr>
        <w:pStyle w:val="BodyText"/>
        <w:spacing w:line="288" w:lineRule="auto" w:before="90"/>
        <w:ind w:left="100" w:right="99"/>
      </w:pPr>
      <w:r>
        <w:rPr/>
        <w:t>Mr. Stepleton’s one-act chamber opera </w:t>
      </w:r>
      <w:r>
        <w:rPr>
          <w:i/>
        </w:rPr>
        <w:t>The Proviso </w:t>
      </w:r>
      <w:r>
        <w:rPr/>
        <w:t>(after William Congreve’s </w:t>
      </w:r>
      <w:r>
        <w:rPr>
          <w:i/>
        </w:rPr>
        <w:t>The Way Of The </w:t>
      </w:r>
      <w:r>
        <w:rPr>
          <w:i/>
        </w:rPr>
        <w:t>World</w:t>
      </w:r>
      <w:r>
        <w:rPr/>
        <w:t>) was given its professional premiere at his 2015 wedding to writer and artist Betsy Ashton, an event given full-page coverage in </w:t>
      </w:r>
      <w:r>
        <w:rPr>
          <w:i/>
        </w:rPr>
        <w:t>The New York Times’ “</w:t>
      </w:r>
      <w:r>
        <w:rPr/>
        <w:t>Vows” column </w:t>
      </w:r>
      <w:r>
        <w:rPr>
          <w:i/>
        </w:rPr>
        <w:t>- </w:t>
      </w:r>
      <w:r>
        <w:rPr/>
        <w:t>including </w:t>
      </w:r>
      <w:r>
        <w:rPr>
          <w:spacing w:val="-18"/>
        </w:rPr>
        <w:t>a </w:t>
      </w:r>
      <w:r>
        <w:rPr/>
        <w:t>link to the complete opera that received over 1,400 hits in the first week. Reviewing the piece, Fred Plotkin (WQXR’s Operavore) said: “beguiling, . . . the perfect </w:t>
      </w:r>
      <w:r>
        <w:rPr>
          <w:i/>
        </w:rPr>
        <w:t>pièce d’occasion; </w:t>
      </w:r>
      <w:r>
        <w:rPr/>
        <w:t>. . . it’s a masterpiece.”</w:t>
      </w:r>
    </w:p>
    <w:p>
      <w:pPr>
        <w:pStyle w:val="BodyText"/>
        <w:spacing w:before="1"/>
        <w:rPr>
          <w:sz w:val="28"/>
        </w:rPr>
      </w:pPr>
    </w:p>
    <w:p>
      <w:pPr>
        <w:pStyle w:val="BodyText"/>
        <w:spacing w:line="288" w:lineRule="auto"/>
        <w:ind w:left="100"/>
      </w:pPr>
      <w:r>
        <w:rPr/>
        <w:t>Mr. Stepleton's full-length opera </w:t>
      </w:r>
      <w:r>
        <w:rPr>
          <w:i/>
        </w:rPr>
        <w:t>The Awakening</w:t>
      </w:r>
      <w:r>
        <w:rPr/>
        <w:t>, after the classic Kate Chopin novel, was presented twice in showcases by New York City Opera. A full-length staged reading was also developed and presented by New Orleans Opera at the historic Madewood Plantation.</w:t>
      </w:r>
    </w:p>
    <w:p>
      <w:pPr>
        <w:pStyle w:val="BodyText"/>
        <w:spacing w:before="5"/>
        <w:rPr>
          <w:sz w:val="28"/>
        </w:rPr>
      </w:pPr>
    </w:p>
    <w:p>
      <w:pPr>
        <w:pStyle w:val="BodyText"/>
        <w:spacing w:line="288" w:lineRule="auto"/>
        <w:ind w:left="100" w:right="95"/>
      </w:pPr>
      <w:r>
        <w:rPr/>
        <w:t>Other music theater works include the chamber operas </w:t>
      </w:r>
      <w:r>
        <w:rPr>
          <w:i/>
        </w:rPr>
        <w:t>For Those Who Will Say Yes </w:t>
      </w:r>
      <w:r>
        <w:rPr/>
        <w:t>and </w:t>
      </w:r>
      <w:r>
        <w:rPr>
          <w:i/>
        </w:rPr>
        <w:t>The </w:t>
      </w:r>
      <w:r>
        <w:rPr>
          <w:i/>
        </w:rPr>
        <w:t>Prodigal Son. </w:t>
      </w:r>
      <w:r>
        <w:rPr/>
        <w:t>The latter won first prize in the national contest “New Music For Worship.” He also wrote </w:t>
      </w:r>
      <w:r>
        <w:rPr>
          <w:i/>
        </w:rPr>
        <w:t>It Happened Here</w:t>
      </w:r>
      <w:r>
        <w:rPr/>
        <w:t>, a full length musical about the assassination of Martin Luther King Jr. that premiered the summer after King’s death.</w:t>
      </w:r>
    </w:p>
    <w:p>
      <w:pPr>
        <w:pStyle w:val="BodyText"/>
        <w:spacing w:before="3"/>
        <w:rPr>
          <w:sz w:val="28"/>
        </w:rPr>
      </w:pPr>
    </w:p>
    <w:p>
      <w:pPr>
        <w:pStyle w:val="BodyText"/>
        <w:spacing w:line="288" w:lineRule="auto"/>
        <w:ind w:left="100" w:right="102"/>
      </w:pPr>
      <w:r>
        <w:rPr/>
        <w:t>His </w:t>
      </w:r>
      <w:r>
        <w:rPr>
          <w:i/>
        </w:rPr>
        <w:t>Serenade for Solo Guitar </w:t>
      </w:r>
      <w:r>
        <w:rPr/>
        <w:t>was sole winner in an international competition sponsored by Andrés Segovia. It has been continuously in print for over 40 years. His choral music, including </w:t>
      </w:r>
      <w:r>
        <w:rPr>
          <w:i/>
        </w:rPr>
        <w:t>Music for September 11</w:t>
      </w:r>
      <w:r>
        <w:rPr/>
        <w:t>, has also been widely performed.</w:t>
      </w:r>
    </w:p>
    <w:p>
      <w:pPr>
        <w:pStyle w:val="BodyText"/>
        <w:spacing w:before="4"/>
        <w:rPr>
          <w:sz w:val="28"/>
        </w:rPr>
      </w:pPr>
    </w:p>
    <w:p>
      <w:pPr>
        <w:pStyle w:val="BodyText"/>
        <w:spacing w:line="288" w:lineRule="auto" w:before="1"/>
        <w:ind w:left="100" w:right="182"/>
      </w:pPr>
      <w:r>
        <w:rPr/>
        <w:t>Until 2013, Mr. Stepleton chaired The Douglas Moore Fund for American Opera, Inc., which he founded in 2000. Under Mr. Stepleton’s leadership, the Moore Fund underwrote extended residencies at major American opera companies including the Metropolitan Opera, Chicago Lyric Opera and Santa Fe Opera for aspiring opera composers seeking to experience first-hand how opera is made in a professional setting.</w:t>
      </w:r>
    </w:p>
    <w:p>
      <w:pPr>
        <w:pStyle w:val="BodyText"/>
        <w:spacing w:before="2"/>
        <w:rPr>
          <w:sz w:val="28"/>
        </w:rPr>
      </w:pPr>
    </w:p>
    <w:p>
      <w:pPr>
        <w:pStyle w:val="BodyText"/>
        <w:spacing w:line="288" w:lineRule="auto"/>
        <w:ind w:left="100" w:right="781"/>
      </w:pPr>
      <w:r>
        <w:rPr/>
        <w:t>Mr. Stepleton has taught at New York University and Columbia University, where he also pursued doctoral studies in music composition. He has also been a guest lecturer at The Manhattan School of Music and the Juilliard School.</w:t>
      </w:r>
    </w:p>
    <w:sectPr>
      <w:pgSz w:w="12240" w:h="15840"/>
      <w:pgMar w:header="741" w:footer="0" w:top="1720" w:bottom="280" w:left="1340" w:right="1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163.25pt;margin-top:36.071075pt;width:285.350pt;height:51.55pt;mso-position-horizontal-relative:page;mso-position-vertical-relative:page;z-index:-2776" type="#_x0000_t202" filled="false" stroked="false">
          <v:textbox inset="0,0,0,0">
            <w:txbxContent>
              <w:p>
                <w:pPr>
                  <w:spacing w:before="4"/>
                  <w:ind w:left="0" w:right="18" w:firstLine="0"/>
                  <w:jc w:val="center"/>
                  <w:rPr>
                    <w:sz w:val="38"/>
                  </w:rPr>
                </w:pPr>
                <w:r>
                  <w:rPr>
                    <w:sz w:val="38"/>
                  </w:rPr>
                  <w:t>James Stepleton Composer</w:t>
                </w:r>
              </w:p>
              <w:p>
                <w:pPr>
                  <w:pStyle w:val="BodyText"/>
                  <w:spacing w:before="8"/>
                  <w:jc w:val="center"/>
                </w:pPr>
                <w:r>
                  <w:rPr/>
                  <w:t>2728 Thomson Avenue, #702 Long Island City, NY 11101</w:t>
                </w:r>
              </w:p>
              <w:p>
                <w:pPr>
                  <w:pStyle w:val="BodyText"/>
                  <w:spacing w:before="8"/>
                  <w:ind w:right="9"/>
                  <w:jc w:val="center"/>
                </w:pPr>
                <w:r>
                  <w:rPr/>
                  <w:t>(718) 255-1274 </w:t>
                </w:r>
                <w:r>
                  <w:rPr>
                    <w:rFonts w:ascii="Arial" w:hAnsi="Arial"/>
                  </w:rPr>
                  <w:t>• </w:t>
                </w:r>
                <w:hyperlink r:id="rId1">
                  <w:r>
                    <w:rPr/>
                    <w:t>jsteplet@gmail.com</w:t>
                  </w:r>
                </w:hyperlink>
              </w:p>
            </w:txbxContent>
          </v:textbox>
          <w10:wrap type="non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24"/>
      <w:szCs w:val="24"/>
    </w:rPr>
  </w:style>
  <w:style w:styleId="ListParagraph" w:type="paragraph">
    <w:name w:val="List Paragraph"/>
    <w:basedOn w:val="Normal"/>
    <w:uiPriority w:val="1"/>
    <w:qFormat/>
    <w:pPr/>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hyperlink" Target="mailto:jsteple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2019-09-10T18:17:03Z</dcterms:created>
  <dcterms:modified xsi:type="dcterms:W3CDTF">2019-09-10T18:17:03Z</dcterms:modified>
</cp:coreProperties>
</file>